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F" w:rsidRDefault="003471E3" w:rsidP="006B5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IEP</w:t>
      </w:r>
      <w:r w:rsidR="00196315">
        <w:rPr>
          <w:rFonts w:ascii="Arial Black" w:hAnsi="Arial Black"/>
          <w:sz w:val="24"/>
          <w:szCs w:val="24"/>
        </w:rPr>
        <w:t xml:space="preserve"> </w:t>
      </w:r>
      <w:r w:rsidR="00BB2AB2">
        <w:rPr>
          <w:rFonts w:ascii="Arial Black" w:hAnsi="Arial Black"/>
          <w:sz w:val="24"/>
          <w:szCs w:val="24"/>
        </w:rPr>
        <w:t>Checklist</w:t>
      </w:r>
    </w:p>
    <w:p w:rsidR="006B5083" w:rsidRPr="00454A4A" w:rsidRDefault="006B5083" w:rsidP="00C21AD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9090"/>
      </w:tblGrid>
      <w:tr w:rsidR="00FF3B80" w:rsidTr="00FF3B80">
        <w:tc>
          <w:tcPr>
            <w:tcW w:w="558" w:type="dxa"/>
            <w:shd w:val="clear" w:color="auto" w:fill="EAF1DD" w:themeFill="accent3" w:themeFillTint="33"/>
          </w:tcPr>
          <w:p w:rsidR="00FF3B80" w:rsidRPr="004423A7" w:rsidRDefault="00FF3B80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  <w:shd w:val="clear" w:color="auto" w:fill="EAF1DD" w:themeFill="accent3" w:themeFillTint="33"/>
          </w:tcPr>
          <w:p w:rsidR="00C666E6" w:rsidRDefault="00C666E6" w:rsidP="00C66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 the Meeting</w:t>
            </w:r>
          </w:p>
          <w:p w:rsidR="00FF3B80" w:rsidRPr="004423A7" w:rsidRDefault="00FF3B80" w:rsidP="00327441">
            <w:pPr>
              <w:jc w:val="center"/>
              <w:rPr>
                <w:rFonts w:ascii="Arial" w:hAnsi="Arial" w:cs="Arial"/>
              </w:rPr>
            </w:pPr>
          </w:p>
        </w:tc>
      </w:tr>
      <w:tr w:rsidR="00FF3B80" w:rsidTr="00FF3B80">
        <w:trPr>
          <w:trHeight w:val="350"/>
        </w:trPr>
        <w:tc>
          <w:tcPr>
            <w:tcW w:w="9648" w:type="dxa"/>
            <w:gridSpan w:val="2"/>
          </w:tcPr>
          <w:p w:rsidR="00FF3B80" w:rsidRPr="00FF3B80" w:rsidRDefault="00FF3B80" w:rsidP="007A57B2">
            <w:pPr>
              <w:rPr>
                <w:rFonts w:ascii="Arial" w:hAnsi="Arial" w:cs="Arial"/>
                <w:b/>
              </w:rPr>
            </w:pPr>
            <w:r w:rsidRPr="00FF3B80">
              <w:rPr>
                <w:rFonts w:ascii="Arial" w:hAnsi="Arial" w:cs="Arial"/>
                <w:b/>
              </w:rPr>
              <w:t>Systems and Procedures</w:t>
            </w:r>
          </w:p>
        </w:tc>
      </w:tr>
      <w:tr w:rsidR="00163549" w:rsidTr="00D45D9A">
        <w:tc>
          <w:tcPr>
            <w:tcW w:w="558" w:type="dxa"/>
          </w:tcPr>
          <w:p w:rsidR="00163549" w:rsidRPr="004423A7" w:rsidRDefault="00163549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163549" w:rsidRPr="00234E3D" w:rsidRDefault="00163549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Members assume good intentions by all parties involved.</w:t>
            </w:r>
          </w:p>
        </w:tc>
      </w:tr>
      <w:tr w:rsidR="00FF3B80" w:rsidTr="00D45D9A">
        <w:tc>
          <w:tcPr>
            <w:tcW w:w="558" w:type="dxa"/>
          </w:tcPr>
          <w:p w:rsidR="00FF3B80" w:rsidRPr="004423A7" w:rsidRDefault="00FF3B80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F3B80" w:rsidRPr="00234E3D" w:rsidRDefault="00D9288F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Rol</w:t>
            </w:r>
            <w:r w:rsidR="00453626">
              <w:rPr>
                <w:rFonts w:ascii="Arial" w:hAnsi="Arial" w:cs="Arial"/>
              </w:rPr>
              <w:t xml:space="preserve">es, responsibilities, &amp; </w:t>
            </w:r>
            <w:r w:rsidRPr="00234E3D">
              <w:rPr>
                <w:rFonts w:ascii="Arial" w:hAnsi="Arial" w:cs="Arial"/>
              </w:rPr>
              <w:t>procedures</w:t>
            </w:r>
            <w:r w:rsidR="00453626">
              <w:rPr>
                <w:rFonts w:ascii="Arial" w:hAnsi="Arial" w:cs="Arial"/>
              </w:rPr>
              <w:t xml:space="preserve"> for the </w:t>
            </w:r>
            <w:r w:rsidR="00196315">
              <w:rPr>
                <w:rFonts w:ascii="Arial" w:hAnsi="Arial" w:cs="Arial"/>
              </w:rPr>
              <w:t xml:space="preserve">IEP </w:t>
            </w:r>
            <w:r w:rsidR="00453626">
              <w:rPr>
                <w:rFonts w:ascii="Arial" w:hAnsi="Arial" w:cs="Arial"/>
              </w:rPr>
              <w:t>process</w:t>
            </w:r>
            <w:r w:rsidRPr="00234E3D">
              <w:rPr>
                <w:rFonts w:ascii="Arial" w:hAnsi="Arial" w:cs="Arial"/>
              </w:rPr>
              <w:t xml:space="preserve"> are clearly defined.</w:t>
            </w:r>
          </w:p>
        </w:tc>
      </w:tr>
      <w:tr w:rsidR="00FF3B80" w:rsidTr="00D45D9A">
        <w:tc>
          <w:tcPr>
            <w:tcW w:w="558" w:type="dxa"/>
          </w:tcPr>
          <w:p w:rsidR="00FF3B80" w:rsidRDefault="00FF3B80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F3B80" w:rsidRPr="00234E3D" w:rsidRDefault="00453626" w:rsidP="0045362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are held accountable for following the established </w:t>
            </w:r>
            <w:r w:rsidR="00196315">
              <w:rPr>
                <w:rFonts w:ascii="Arial" w:hAnsi="Arial" w:cs="Arial"/>
              </w:rPr>
              <w:t>IEP</w:t>
            </w:r>
            <w:r>
              <w:rPr>
                <w:rFonts w:ascii="Arial" w:hAnsi="Arial" w:cs="Arial"/>
              </w:rPr>
              <w:t xml:space="preserve"> procedures.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196315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 xml:space="preserve">Members are clear on issues </w:t>
            </w:r>
            <w:r w:rsidR="00196315">
              <w:rPr>
                <w:rFonts w:ascii="Arial" w:hAnsi="Arial" w:cs="Arial"/>
              </w:rPr>
              <w:t>related</w:t>
            </w:r>
            <w:r w:rsidRPr="00234E3D">
              <w:rPr>
                <w:rFonts w:ascii="Arial" w:hAnsi="Arial" w:cs="Arial"/>
              </w:rPr>
              <w:t xml:space="preserve"> to the </w:t>
            </w:r>
            <w:r w:rsidR="00196315">
              <w:rPr>
                <w:rFonts w:ascii="Arial" w:hAnsi="Arial" w:cs="Arial"/>
              </w:rPr>
              <w:t xml:space="preserve">meeting </w:t>
            </w:r>
            <w:r w:rsidRPr="00234E3D">
              <w:rPr>
                <w:rFonts w:ascii="Arial" w:hAnsi="Arial" w:cs="Arial"/>
              </w:rPr>
              <w:t xml:space="preserve">and those outside </w:t>
            </w:r>
            <w:r w:rsidR="00196315">
              <w:rPr>
                <w:rFonts w:ascii="Arial" w:hAnsi="Arial" w:cs="Arial"/>
              </w:rPr>
              <w:t xml:space="preserve">the </w:t>
            </w:r>
            <w:r w:rsidRPr="00234E3D">
              <w:rPr>
                <w:rFonts w:ascii="Arial" w:hAnsi="Arial" w:cs="Arial"/>
              </w:rPr>
              <w:t>scope of</w:t>
            </w:r>
            <w:r w:rsidR="00196315">
              <w:rPr>
                <w:rFonts w:ascii="Arial" w:hAnsi="Arial" w:cs="Arial"/>
              </w:rPr>
              <w:t xml:space="preserve"> </w:t>
            </w:r>
            <w:proofErr w:type="gramStart"/>
            <w:r w:rsidR="00196315">
              <w:rPr>
                <w:rFonts w:ascii="Arial" w:hAnsi="Arial" w:cs="Arial"/>
              </w:rPr>
              <w:t xml:space="preserve">the </w:t>
            </w:r>
            <w:r w:rsidRPr="00234E3D">
              <w:rPr>
                <w:rFonts w:ascii="Arial" w:hAnsi="Arial" w:cs="Arial"/>
              </w:rPr>
              <w:t xml:space="preserve"> </w:t>
            </w:r>
            <w:r w:rsidR="00196315">
              <w:rPr>
                <w:rFonts w:ascii="Arial" w:hAnsi="Arial" w:cs="Arial"/>
              </w:rPr>
              <w:t>IEP</w:t>
            </w:r>
            <w:proofErr w:type="gramEnd"/>
            <w:r w:rsidR="00196315">
              <w:rPr>
                <w:rFonts w:ascii="Arial" w:hAnsi="Arial" w:cs="Arial"/>
              </w:rPr>
              <w:t xml:space="preserve">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Staff members are expected to collect and offer data to support comments in meetings.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 xml:space="preserve">Training on the </w:t>
            </w:r>
            <w:r w:rsidR="00196315">
              <w:rPr>
                <w:rFonts w:ascii="Arial" w:hAnsi="Arial" w:cs="Arial"/>
              </w:rPr>
              <w:t>IEP</w:t>
            </w:r>
            <w:r w:rsidRPr="00234E3D">
              <w:rPr>
                <w:rFonts w:ascii="Arial" w:hAnsi="Arial" w:cs="Arial"/>
              </w:rPr>
              <w:t xml:space="preserve"> process is provided for staff and parents.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 xml:space="preserve">Methods for decision-making/consensus </w:t>
            </w:r>
            <w:r w:rsidR="00453626">
              <w:rPr>
                <w:rFonts w:ascii="Arial" w:hAnsi="Arial" w:cs="Arial"/>
              </w:rPr>
              <w:t xml:space="preserve">are </w:t>
            </w:r>
            <w:r w:rsidRPr="00234E3D">
              <w:rPr>
                <w:rFonts w:ascii="Arial" w:hAnsi="Arial" w:cs="Arial"/>
              </w:rPr>
              <w:t xml:space="preserve">clear. Training </w:t>
            </w:r>
            <w:r w:rsidR="00453626">
              <w:rPr>
                <w:rFonts w:ascii="Arial" w:hAnsi="Arial" w:cs="Arial"/>
              </w:rPr>
              <w:t xml:space="preserve">is </w:t>
            </w:r>
            <w:r w:rsidRPr="00234E3D">
              <w:rPr>
                <w:rFonts w:ascii="Arial" w:hAnsi="Arial" w:cs="Arial"/>
              </w:rPr>
              <w:t>provided if needed.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6B1361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A60CA">
              <w:rPr>
                <w:rFonts w:ascii="Arial" w:hAnsi="Arial" w:cs="Arial"/>
              </w:rPr>
              <w:t>hange</w:t>
            </w:r>
            <w:r>
              <w:rPr>
                <w:rFonts w:ascii="Arial" w:hAnsi="Arial" w:cs="Arial"/>
              </w:rPr>
              <w:t xml:space="preserve"> is managed</w:t>
            </w:r>
            <w:r w:rsidR="007A60CA">
              <w:rPr>
                <w:rFonts w:ascii="Arial" w:hAnsi="Arial" w:cs="Arial"/>
              </w:rPr>
              <w:t xml:space="preserve"> in ways that unify the team, e.g., orient new members.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Staff members are held accountable for implementation and progress monitoring.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Staff members are held accountable for commitments made.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122CE4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r</w:t>
            </w:r>
            <w:r w:rsidR="00DA5273" w:rsidRPr="00234E3D">
              <w:rPr>
                <w:rFonts w:ascii="Arial" w:hAnsi="Arial" w:cs="Arial"/>
              </w:rPr>
              <w:t>egularly evaluate</w:t>
            </w:r>
            <w:r>
              <w:rPr>
                <w:rFonts w:ascii="Arial" w:hAnsi="Arial" w:cs="Arial"/>
              </w:rPr>
              <w:t xml:space="preserve">s the effectiveness of the </w:t>
            </w:r>
            <w:r w:rsidR="00196315">
              <w:rPr>
                <w:rFonts w:ascii="Arial" w:hAnsi="Arial" w:cs="Arial"/>
              </w:rPr>
              <w:t>IEP</w:t>
            </w:r>
            <w:r>
              <w:rPr>
                <w:rFonts w:ascii="Arial" w:hAnsi="Arial" w:cs="Arial"/>
              </w:rPr>
              <w:t xml:space="preserve"> process.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DA5273" w:rsidTr="00D45D9A">
        <w:tc>
          <w:tcPr>
            <w:tcW w:w="9648" w:type="dxa"/>
            <w:gridSpan w:val="2"/>
          </w:tcPr>
          <w:p w:rsidR="00DA5273" w:rsidRPr="00FF3B80" w:rsidRDefault="00DA5273" w:rsidP="007A57B2">
            <w:pPr>
              <w:rPr>
                <w:rFonts w:ascii="Arial" w:hAnsi="Arial" w:cs="Arial"/>
                <w:b/>
              </w:rPr>
            </w:pPr>
            <w:r w:rsidRPr="00FF3B80">
              <w:rPr>
                <w:rFonts w:ascii="Arial" w:hAnsi="Arial" w:cs="Arial"/>
                <w:b/>
              </w:rPr>
              <w:t>Team Development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Team intelligence has been developed. Strengths, weaknesses, and preferred styles of the team members are known to team.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7A60CA" w:rsidP="00234E3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Actions, both in and outside of </w:t>
            </w:r>
            <w:r w:rsidR="00196315">
              <w:rPr>
                <w:rFonts w:ascii="Arial" w:hAnsi="Arial" w:cs="Arial"/>
              </w:rPr>
              <w:t>IEP</w:t>
            </w:r>
            <w:r>
              <w:rPr>
                <w:rFonts w:ascii="Arial" w:hAnsi="Arial" w:cs="Arial"/>
              </w:rPr>
              <w:t>, promote trust with team members.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122CE4" w:rsidP="00234E3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Open-minded is encouraged while “g</w:t>
            </w:r>
            <w:r w:rsidR="00DA5273" w:rsidRPr="00234E3D">
              <w:rPr>
                <w:rFonts w:ascii="Arial" w:hAnsi="Arial" w:cs="Arial"/>
              </w:rPr>
              <w:t>roupthink” is discouraged.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Team members know the value of “constructive conformity” and when to use it to facilitate the team’s activities.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DA5273" w:rsidTr="00D45D9A">
        <w:tc>
          <w:tcPr>
            <w:tcW w:w="9648" w:type="dxa"/>
            <w:gridSpan w:val="2"/>
          </w:tcPr>
          <w:p w:rsidR="00DA5273" w:rsidRPr="00FF3B80" w:rsidRDefault="00DA5273" w:rsidP="007A5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and Responsibilities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Each team member knows responsibilities and executes them well.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An individual is identified to chair/facilitate the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An impartial individual is identified to facilitate the process/meeting when needed.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Data/reports/drafts are developed and shared with team members prior to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Staff members are provided coaching and/or support as needed.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Members try to anticipate concerns/issues to reduce surprises.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Responsible staff member prepares meeting agenda. Agenda is personalized.</w:t>
            </w:r>
          </w:p>
        </w:tc>
      </w:tr>
      <w:tr w:rsidR="00234E3D" w:rsidTr="00D45D9A">
        <w:tc>
          <w:tcPr>
            <w:tcW w:w="558" w:type="dxa"/>
          </w:tcPr>
          <w:p w:rsidR="00234E3D" w:rsidRDefault="00234E3D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234E3D" w:rsidRPr="00234E3D" w:rsidRDefault="00234E3D" w:rsidP="00234E3D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DA5273" w:rsidTr="00D45D9A">
        <w:tc>
          <w:tcPr>
            <w:tcW w:w="9648" w:type="dxa"/>
            <w:gridSpan w:val="2"/>
          </w:tcPr>
          <w:p w:rsidR="00DA5273" w:rsidRPr="00FF3B80" w:rsidRDefault="00DA5273" w:rsidP="007A57B2">
            <w:pPr>
              <w:rPr>
                <w:rFonts w:ascii="Arial" w:hAnsi="Arial" w:cs="Arial"/>
                <w:b/>
              </w:rPr>
            </w:pPr>
            <w:r w:rsidRPr="00FF3B80">
              <w:rPr>
                <w:rFonts w:ascii="Arial" w:hAnsi="Arial" w:cs="Arial"/>
                <w:b/>
              </w:rPr>
              <w:t>Logistics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 xml:space="preserve">Meeting length is clear and sufficient for purpose of the meeting. 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 xml:space="preserve">Room location and logistics (refreshments, technology, </w:t>
            </w:r>
            <w:r w:rsidR="000D7AF2" w:rsidRPr="00234E3D">
              <w:rPr>
                <w:rFonts w:ascii="Arial" w:hAnsi="Arial" w:cs="Arial"/>
              </w:rPr>
              <w:t>and phone</w:t>
            </w:r>
            <w:r w:rsidRPr="00234E3D">
              <w:rPr>
                <w:rFonts w:ascii="Arial" w:hAnsi="Arial" w:cs="Arial"/>
              </w:rPr>
              <w:t xml:space="preserve"> conferencing) are arranged.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Appropriate equipment and supplies are available, e.g., charts tablets, markers, recorder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122CE4" w:rsidP="00122CE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Technology is used to make forms and </w:t>
            </w:r>
            <w:r w:rsidR="00DA5273" w:rsidRPr="00234E3D">
              <w:rPr>
                <w:rFonts w:ascii="Arial" w:hAnsi="Arial" w:cs="Arial"/>
              </w:rPr>
              <w:t>writing visible to all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Seating arrangements are conducive to participation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234E3D" w:rsidRDefault="00DA5273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  <w:r w:rsidRPr="00234E3D">
              <w:rPr>
                <w:rFonts w:ascii="Arial" w:hAnsi="Arial" w:cs="Arial"/>
              </w:rPr>
              <w:t>Room is in a private place and sufficient size to promote active meeting.</w:t>
            </w:r>
          </w:p>
        </w:tc>
      </w:tr>
      <w:tr w:rsidR="00053874" w:rsidTr="00D45D9A">
        <w:tc>
          <w:tcPr>
            <w:tcW w:w="558" w:type="dxa"/>
          </w:tcPr>
          <w:p w:rsidR="00053874" w:rsidRDefault="00053874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053874" w:rsidRPr="00234E3D" w:rsidRDefault="00053874" w:rsidP="00234E3D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</w:rPr>
            </w:pPr>
          </w:p>
        </w:tc>
      </w:tr>
    </w:tbl>
    <w:p w:rsidR="002C20F1" w:rsidRDefault="002C20F1">
      <w:r>
        <w:br w:type="page"/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9090"/>
      </w:tblGrid>
      <w:tr w:rsidR="00DA5273" w:rsidTr="00D45D9A">
        <w:tc>
          <w:tcPr>
            <w:tcW w:w="9648" w:type="dxa"/>
            <w:gridSpan w:val="2"/>
          </w:tcPr>
          <w:p w:rsidR="00DA5273" w:rsidRPr="00FF3B80" w:rsidRDefault="00DA5273" w:rsidP="007A57B2">
            <w:pPr>
              <w:rPr>
                <w:rFonts w:ascii="Arial" w:hAnsi="Arial" w:cs="Arial"/>
                <w:b/>
              </w:rPr>
            </w:pPr>
            <w:r w:rsidRPr="00FF3B80">
              <w:rPr>
                <w:rFonts w:ascii="Arial" w:hAnsi="Arial" w:cs="Arial"/>
                <w:b/>
              </w:rPr>
              <w:lastRenderedPageBreak/>
              <w:t>Notice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53874" w:rsidRDefault="00DA5273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  <w:r w:rsidRPr="00053874">
              <w:rPr>
                <w:rFonts w:ascii="Arial" w:hAnsi="Arial" w:cs="Arial"/>
              </w:rPr>
              <w:t>Meetings are scheduled at a mutually agreeable time to the parent and required members. Meetings are scheduled early enough to allow for unanticipated needs. Meetings are re-scheduled if needed to ensure parent participation.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53874" w:rsidRDefault="00DA5273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  <w:r w:rsidRPr="00053874">
              <w:rPr>
                <w:rFonts w:ascii="Arial" w:hAnsi="Arial" w:cs="Arial"/>
              </w:rPr>
              <w:t>Team members are notified in a timely manner so attendance is ensured or so other arrangements can be made.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53874" w:rsidRDefault="00DA5273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  <w:r w:rsidRPr="00053874">
              <w:rPr>
                <w:rFonts w:ascii="Arial" w:hAnsi="Arial" w:cs="Arial"/>
              </w:rPr>
              <w:t>Team members notify designated person if they will not be present the entire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53874" w:rsidRDefault="00196315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</w:t>
            </w:r>
            <w:r w:rsidR="00DA5273" w:rsidRPr="00053874">
              <w:rPr>
                <w:rFonts w:ascii="Arial" w:hAnsi="Arial" w:cs="Arial"/>
              </w:rPr>
              <w:t xml:space="preserve"> Notice is prepared and received by parents according to timeline.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53874" w:rsidRDefault="00DA5273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  <w:r w:rsidRPr="00053874">
              <w:rPr>
                <w:rFonts w:ascii="Arial" w:hAnsi="Arial" w:cs="Arial"/>
              </w:rPr>
              <w:t>Proposed agenda is prepared by designated individual.</w:t>
            </w:r>
          </w:p>
        </w:tc>
      </w:tr>
      <w:tr w:rsidR="00053874" w:rsidTr="00D45D9A">
        <w:tc>
          <w:tcPr>
            <w:tcW w:w="558" w:type="dxa"/>
          </w:tcPr>
          <w:p w:rsidR="00053874" w:rsidRDefault="00053874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053874" w:rsidRPr="00053874" w:rsidRDefault="00053874" w:rsidP="00053874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DA5273" w:rsidTr="00D45D9A">
        <w:tc>
          <w:tcPr>
            <w:tcW w:w="9648" w:type="dxa"/>
            <w:gridSpan w:val="2"/>
          </w:tcPr>
          <w:p w:rsidR="00DA5273" w:rsidRPr="00FF3B80" w:rsidRDefault="00DA5273" w:rsidP="007A57B2">
            <w:pPr>
              <w:rPr>
                <w:rFonts w:ascii="Arial" w:hAnsi="Arial" w:cs="Arial"/>
                <w:b/>
              </w:rPr>
            </w:pPr>
            <w:r w:rsidRPr="00FF3B80">
              <w:rPr>
                <w:rFonts w:ascii="Arial" w:hAnsi="Arial" w:cs="Arial"/>
                <w:b/>
              </w:rPr>
              <w:t>Pre-</w:t>
            </w:r>
            <w:r w:rsidR="00196315">
              <w:rPr>
                <w:rFonts w:ascii="Arial" w:hAnsi="Arial" w:cs="Arial"/>
                <w:b/>
              </w:rPr>
              <w:t>IEP Meeting</w:t>
            </w:r>
            <w:r w:rsidRPr="00FF3B80">
              <w:rPr>
                <w:rFonts w:ascii="Arial" w:hAnsi="Arial" w:cs="Arial"/>
                <w:b/>
              </w:rPr>
              <w:t xml:space="preserve"> Information Sharing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Drafts are prepared and shared with team including parent(s) prior to meeting. 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New or complex information is shared in writing with team including parent(s) prior to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Parents’ perspective, including underlying interest</w:t>
            </w:r>
            <w:r w:rsidR="00122CE4">
              <w:rPr>
                <w:rFonts w:ascii="Arial" w:hAnsi="Arial" w:cs="Arial"/>
              </w:rPr>
              <w:t>(</w:t>
            </w:r>
            <w:r w:rsidRPr="000F42A7">
              <w:rPr>
                <w:rFonts w:ascii="Arial" w:hAnsi="Arial" w:cs="Arial"/>
              </w:rPr>
              <w:t>s</w:t>
            </w:r>
            <w:r w:rsidR="00122CE4">
              <w:rPr>
                <w:rFonts w:ascii="Arial" w:hAnsi="Arial" w:cs="Arial"/>
              </w:rPr>
              <w:t>)</w:t>
            </w:r>
            <w:r w:rsidR="000D7AF2">
              <w:rPr>
                <w:rFonts w:ascii="Arial" w:hAnsi="Arial" w:cs="Arial"/>
              </w:rPr>
              <w:t>, is</w:t>
            </w:r>
            <w:r w:rsidRPr="000F42A7">
              <w:rPr>
                <w:rFonts w:ascii="Arial" w:hAnsi="Arial" w:cs="Arial"/>
              </w:rPr>
              <w:t xml:space="preserve"> considered by team members prior to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Parent input/requests/concern(s) are shared with team prior to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Staff members invite parents to share information ahead of time and bring to the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196315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Team uses Pre-</w:t>
            </w:r>
            <w:r w:rsidR="00196315">
              <w:rPr>
                <w:rFonts w:ascii="Arial" w:hAnsi="Arial" w:cs="Arial"/>
              </w:rPr>
              <w:t xml:space="preserve">IEP meetings </w:t>
            </w:r>
            <w:r w:rsidRPr="000F42A7">
              <w:rPr>
                <w:rFonts w:ascii="Arial" w:hAnsi="Arial" w:cs="Arial"/>
              </w:rPr>
              <w:t xml:space="preserve">as needed to prepare for </w:t>
            </w:r>
            <w:r w:rsidR="00196315">
              <w:rPr>
                <w:rFonts w:ascii="Arial" w:hAnsi="Arial" w:cs="Arial"/>
              </w:rPr>
              <w:t>IEP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When a required member’s area of responsibility is being modified or discussed at the </w:t>
            </w:r>
            <w:r w:rsidR="00196315">
              <w:rPr>
                <w:rFonts w:ascii="Arial" w:hAnsi="Arial" w:cs="Arial"/>
              </w:rPr>
              <w:t>IEP</w:t>
            </w:r>
            <w:r w:rsidRPr="000F42A7">
              <w:rPr>
                <w:rFonts w:ascii="Arial" w:hAnsi="Arial" w:cs="Arial"/>
              </w:rPr>
              <w:t xml:space="preserve">, the required member submits input to parent and team prior to the </w:t>
            </w:r>
            <w:r w:rsidR="00196315">
              <w:rPr>
                <w:rFonts w:ascii="Arial" w:hAnsi="Arial" w:cs="Arial"/>
              </w:rPr>
              <w:t>meeting</w:t>
            </w:r>
            <w:r w:rsidRPr="000F42A7">
              <w:rPr>
                <w:rFonts w:ascii="Arial" w:hAnsi="Arial" w:cs="Arial"/>
              </w:rPr>
              <w:t xml:space="preserve"> when not planning to attend all or part of the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Obtain input from staff members not attending the meeting.</w:t>
            </w:r>
          </w:p>
        </w:tc>
      </w:tr>
      <w:tr w:rsidR="00DA5273" w:rsidTr="00D45D9A">
        <w:tc>
          <w:tcPr>
            <w:tcW w:w="558" w:type="dxa"/>
          </w:tcPr>
          <w:p w:rsidR="00DA5273" w:rsidRDefault="00DA5273" w:rsidP="006B5083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DA5273" w:rsidRPr="000F42A7" w:rsidRDefault="00DA5273" w:rsidP="000F42A7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</w:rPr>
            </w:pPr>
          </w:p>
        </w:tc>
      </w:tr>
    </w:tbl>
    <w:p w:rsidR="00FB11D3" w:rsidRDefault="00FB11D3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9270"/>
      </w:tblGrid>
      <w:tr w:rsidR="00FB11D3" w:rsidTr="008A6950">
        <w:tc>
          <w:tcPr>
            <w:tcW w:w="558" w:type="dxa"/>
            <w:shd w:val="clear" w:color="auto" w:fill="EAF1DD" w:themeFill="accent3" w:themeFillTint="33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EAF1DD" w:themeFill="accent3" w:themeFillTint="33"/>
          </w:tcPr>
          <w:p w:rsidR="00FB11D3" w:rsidRDefault="00FB11D3" w:rsidP="008A6950">
            <w:pPr>
              <w:jc w:val="center"/>
              <w:rPr>
                <w:rFonts w:ascii="Arial" w:hAnsi="Arial" w:cs="Arial"/>
                <w:b/>
              </w:rPr>
            </w:pPr>
            <w:r w:rsidRPr="00327441">
              <w:rPr>
                <w:rFonts w:ascii="Arial" w:hAnsi="Arial" w:cs="Arial"/>
                <w:b/>
              </w:rPr>
              <w:t>During the Meeting</w:t>
            </w:r>
          </w:p>
          <w:p w:rsidR="002C20F1" w:rsidRDefault="002C20F1" w:rsidP="008A6950">
            <w:pPr>
              <w:jc w:val="center"/>
              <w:rPr>
                <w:rFonts w:ascii="Arial" w:hAnsi="Arial" w:cs="Arial"/>
              </w:rPr>
            </w:pPr>
          </w:p>
        </w:tc>
      </w:tr>
      <w:tr w:rsidR="00F57A06" w:rsidTr="00B03DAA">
        <w:tc>
          <w:tcPr>
            <w:tcW w:w="9828" w:type="dxa"/>
            <w:gridSpan w:val="2"/>
          </w:tcPr>
          <w:p w:rsidR="00F57A06" w:rsidRPr="00F57A06" w:rsidRDefault="00F57A06" w:rsidP="008A6950">
            <w:pPr>
              <w:rPr>
                <w:rFonts w:ascii="Arial" w:hAnsi="Arial" w:cs="Arial"/>
                <w:b/>
              </w:rPr>
            </w:pPr>
            <w:r w:rsidRPr="00F57A06">
              <w:rPr>
                <w:rFonts w:ascii="Arial" w:hAnsi="Arial" w:cs="Arial"/>
                <w:b/>
              </w:rPr>
              <w:t>Process / Structure</w:t>
            </w:r>
          </w:p>
        </w:tc>
      </w:tr>
      <w:tr w:rsidR="00957D11" w:rsidTr="008A6950">
        <w:tc>
          <w:tcPr>
            <w:tcW w:w="558" w:type="dxa"/>
          </w:tcPr>
          <w:p w:rsidR="00957D11" w:rsidRDefault="00957D11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957D11" w:rsidRPr="000F42A7" w:rsidRDefault="00D44AE5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are on time and informed of</w:t>
            </w:r>
            <w:r w:rsidR="00957D11" w:rsidRPr="000F42A7">
              <w:rPr>
                <w:rFonts w:ascii="Arial" w:hAnsi="Arial" w:cs="Arial"/>
              </w:rPr>
              <w:t xml:space="preserve"> purpose.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Agenda is adjusted to address the specific purpose of the meeting. Agenda is personalized to the extent needed.</w:t>
            </w:r>
            <w:r w:rsidR="0056509D" w:rsidRPr="000F42A7">
              <w:rPr>
                <w:rFonts w:ascii="Arial" w:hAnsi="Arial" w:cs="Arial"/>
              </w:rPr>
              <w:t xml:space="preserve"> Agenda is posted and visible to all.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FB11D3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Agenda is used to identify where parent(s) concerns(s) will be addressed.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Agenda is followed unless team agrees to make changes.</w:t>
            </w:r>
          </w:p>
        </w:tc>
      </w:tr>
      <w:tr w:rsidR="00C874BB" w:rsidTr="00C874BB">
        <w:trPr>
          <w:trHeight w:val="305"/>
        </w:trPr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957D11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Opening Remarks</w:t>
            </w:r>
            <w:r w:rsidR="00C874BB" w:rsidRPr="000F42A7">
              <w:rPr>
                <w:rFonts w:ascii="Arial" w:hAnsi="Arial" w:cs="Arial"/>
              </w:rPr>
              <w:t xml:space="preserve"> </w:t>
            </w:r>
            <w:r w:rsidRPr="000F42A7">
              <w:rPr>
                <w:rFonts w:ascii="Arial" w:hAnsi="Arial" w:cs="Arial"/>
              </w:rPr>
              <w:t>clarify purpose of meeting and roles and responsibilities.</w:t>
            </w:r>
          </w:p>
        </w:tc>
      </w:tr>
      <w:tr w:rsidR="0056509D" w:rsidTr="00C874BB">
        <w:trPr>
          <w:trHeight w:val="305"/>
        </w:trPr>
        <w:tc>
          <w:tcPr>
            <w:tcW w:w="558" w:type="dxa"/>
          </w:tcPr>
          <w:p w:rsidR="0056509D" w:rsidRDefault="0056509D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56509D" w:rsidRPr="000F42A7" w:rsidRDefault="00D44AE5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Method is used</w:t>
            </w:r>
            <w:r w:rsidR="00C874BB" w:rsidRPr="000F42A7">
              <w:rPr>
                <w:rFonts w:ascii="Arial" w:hAnsi="Arial" w:cs="Arial"/>
              </w:rPr>
              <w:t xml:space="preserve"> to honor</w:t>
            </w:r>
            <w:r w:rsidR="00957D11" w:rsidRPr="000F42A7">
              <w:rPr>
                <w:rFonts w:ascii="Arial" w:hAnsi="Arial" w:cs="Arial"/>
              </w:rPr>
              <w:t xml:space="preserve"> non-agenda</w:t>
            </w:r>
            <w:r w:rsidRPr="000F42A7">
              <w:rPr>
                <w:rFonts w:ascii="Arial" w:hAnsi="Arial" w:cs="Arial"/>
              </w:rPr>
              <w:t xml:space="preserve"> items</w:t>
            </w:r>
            <w:r w:rsidR="0056509D" w:rsidRPr="000F42A7">
              <w:rPr>
                <w:rFonts w:ascii="Arial" w:hAnsi="Arial" w:cs="Arial"/>
              </w:rPr>
              <w:t>, e.g., p</w:t>
            </w:r>
            <w:r w:rsidR="00C874BB" w:rsidRPr="000F42A7">
              <w:rPr>
                <w:rFonts w:ascii="Arial" w:hAnsi="Arial" w:cs="Arial"/>
              </w:rPr>
              <w:t>arking lot.</w:t>
            </w:r>
          </w:p>
        </w:tc>
      </w:tr>
      <w:tr w:rsidR="0056509D" w:rsidTr="008A6950">
        <w:tc>
          <w:tcPr>
            <w:tcW w:w="558" w:type="dxa"/>
          </w:tcPr>
          <w:p w:rsidR="0056509D" w:rsidRDefault="0056509D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56509D" w:rsidRPr="000F42A7" w:rsidRDefault="0056509D" w:rsidP="00122CE4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</w:t>
            </w:r>
            <w:r w:rsidR="00122CE4">
              <w:rPr>
                <w:rFonts w:ascii="Arial" w:hAnsi="Arial" w:cs="Arial"/>
              </w:rPr>
              <w:t>am members notify chair/team of any time constraints or inability to participate for the entire meeting.</w:t>
            </w:r>
            <w:r w:rsidRPr="000F42A7">
              <w:rPr>
                <w:rFonts w:ascii="Arial" w:hAnsi="Arial" w:cs="Arial"/>
              </w:rPr>
              <w:t xml:space="preserve"> </w:t>
            </w:r>
          </w:p>
        </w:tc>
      </w:tr>
      <w:tr w:rsidR="0056509D" w:rsidTr="008A6950">
        <w:tc>
          <w:tcPr>
            <w:tcW w:w="558" w:type="dxa"/>
          </w:tcPr>
          <w:p w:rsidR="0056509D" w:rsidRDefault="0056509D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56509D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Ground rules, behavior/</w:t>
            </w:r>
            <w:r w:rsidR="0056509D" w:rsidRPr="000F42A7">
              <w:rPr>
                <w:rFonts w:ascii="Arial" w:hAnsi="Arial" w:cs="Arial"/>
              </w:rPr>
              <w:t xml:space="preserve">discussion guidelines are used 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Seating is arranged in a way that promotes active participation of all members.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Strategy is used to clearly identify team participants and their role (e.g., name tents/role).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Visuals are available to assist with understanding the discussion.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Members are able to visually follow documentation (drafts, </w:t>
            </w:r>
            <w:r w:rsidR="00163549" w:rsidRPr="000F42A7">
              <w:rPr>
                <w:rFonts w:ascii="Arial" w:hAnsi="Arial" w:cs="Arial"/>
              </w:rPr>
              <w:t xml:space="preserve">sample forms, </w:t>
            </w:r>
            <w:r w:rsidRPr="000F42A7">
              <w:rPr>
                <w:rFonts w:ascii="Arial" w:hAnsi="Arial" w:cs="Arial"/>
              </w:rPr>
              <w:t>projection screen)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</w:p>
        </w:tc>
      </w:tr>
    </w:tbl>
    <w:p w:rsidR="002C20F1" w:rsidRDefault="002C20F1">
      <w:r>
        <w:br w:type="page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558"/>
        <w:gridCol w:w="9270"/>
      </w:tblGrid>
      <w:tr w:rsidR="00C874BB" w:rsidTr="007F734A">
        <w:tc>
          <w:tcPr>
            <w:tcW w:w="9828" w:type="dxa"/>
            <w:gridSpan w:val="2"/>
          </w:tcPr>
          <w:p w:rsidR="00C874BB" w:rsidRPr="00F57A06" w:rsidRDefault="00C874BB" w:rsidP="008A6950">
            <w:pPr>
              <w:rPr>
                <w:rFonts w:ascii="Arial" w:hAnsi="Arial" w:cs="Arial"/>
                <w:b/>
              </w:rPr>
            </w:pPr>
            <w:r w:rsidRPr="00F57A06">
              <w:rPr>
                <w:rFonts w:ascii="Arial" w:hAnsi="Arial" w:cs="Arial"/>
                <w:b/>
              </w:rPr>
              <w:lastRenderedPageBreak/>
              <w:t>Interactions, Participation, &amp; Communication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Deliberate effort are made</w:t>
            </w:r>
            <w:r w:rsidR="00B0054F" w:rsidRPr="000F42A7">
              <w:rPr>
                <w:rFonts w:ascii="Arial" w:hAnsi="Arial" w:cs="Arial"/>
              </w:rPr>
              <w:t xml:space="preserve"> to ensure parents are welcomed and feel</w:t>
            </w:r>
            <w:r w:rsidRPr="000F42A7">
              <w:rPr>
                <w:rFonts w:ascii="Arial" w:hAnsi="Arial" w:cs="Arial"/>
              </w:rPr>
              <w:t xml:space="preserve"> included “at the table”</w:t>
            </w:r>
          </w:p>
        </w:tc>
      </w:tr>
      <w:tr w:rsidR="00C874BB" w:rsidTr="008A6950">
        <w:tc>
          <w:tcPr>
            <w:tcW w:w="558" w:type="dxa"/>
          </w:tcPr>
          <w:p w:rsidR="00C874BB" w:rsidRDefault="00C874BB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C874BB" w:rsidRPr="000F42A7" w:rsidRDefault="00C874BB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Welcoming and</w:t>
            </w:r>
            <w:r w:rsidR="00163549" w:rsidRPr="000F42A7">
              <w:rPr>
                <w:rFonts w:ascii="Arial" w:hAnsi="Arial" w:cs="Arial"/>
              </w:rPr>
              <w:t xml:space="preserve"> explanatory opening statement sets a positive tone for</w:t>
            </w:r>
            <w:r w:rsidRPr="000F42A7">
              <w:rPr>
                <w:rFonts w:ascii="Arial" w:hAnsi="Arial" w:cs="Arial"/>
              </w:rPr>
              <w:t xml:space="preserve"> the meeting.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Team members listen and invite diverse opinions.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Input from parent is sought and utilized in development of</w:t>
            </w:r>
            <w:r w:rsidR="00196315">
              <w:rPr>
                <w:rFonts w:ascii="Arial" w:hAnsi="Arial" w:cs="Arial"/>
              </w:rPr>
              <w:t xml:space="preserve"> the</w:t>
            </w:r>
            <w:r w:rsidRPr="000F42A7">
              <w:rPr>
                <w:rFonts w:ascii="Arial" w:hAnsi="Arial" w:cs="Arial"/>
              </w:rPr>
              <w:t xml:space="preserve"> IEP. 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Diversity and differences are invited and honored (cultural, gender, styles, etc.)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Biases and assumptions are ch</w:t>
            </w:r>
            <w:r w:rsidR="00C1756F">
              <w:rPr>
                <w:rFonts w:ascii="Arial" w:hAnsi="Arial" w:cs="Arial"/>
              </w:rPr>
              <w:t>ecked for accuracy before acting</w:t>
            </w:r>
            <w:r w:rsidRPr="000F42A7">
              <w:rPr>
                <w:rFonts w:ascii="Arial" w:hAnsi="Arial" w:cs="Arial"/>
              </w:rPr>
              <w:t xml:space="preserve"> upon them as true.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C1756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0054F" w:rsidRPr="000F42A7">
              <w:rPr>
                <w:rFonts w:ascii="Arial" w:hAnsi="Arial" w:cs="Arial"/>
              </w:rPr>
              <w:t>embers assume positive intentions</w:t>
            </w:r>
            <w:r>
              <w:rPr>
                <w:rFonts w:ascii="Arial" w:hAnsi="Arial" w:cs="Arial"/>
              </w:rPr>
              <w:t xml:space="preserve"> &amp; motives first before jumping to negative assumptions.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seek to understand before defending or debating.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ask questions to gain info and to better understand the perspective of others.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identify underlying interests behind the demands/positions/solutions of others.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use neutral, non-judgmental language to help others hear the real message.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summarize what others have to say.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frame problems based on interests rather than positions.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express ideas fully and frankly so that everyone has relevant info and hidden agendas are minimized.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are alert and engaged in the team’s work throughout meeting.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apologize for mistakes, oversight; own responsibility for broken promises.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manage/resolve conflict in ways that unify people within the team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are able to review documents prior to being asked to sign.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Each team member gives input and plays an active role in the discussion. 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B0054F" w:rsidTr="00414088">
        <w:tc>
          <w:tcPr>
            <w:tcW w:w="9828" w:type="dxa"/>
            <w:gridSpan w:val="2"/>
          </w:tcPr>
          <w:p w:rsidR="00B0054F" w:rsidRPr="00F57A06" w:rsidRDefault="00B0054F" w:rsidP="008A6950">
            <w:pPr>
              <w:rPr>
                <w:rFonts w:ascii="Arial" w:hAnsi="Arial" w:cs="Arial"/>
                <w:b/>
              </w:rPr>
            </w:pPr>
            <w:r w:rsidRPr="00F57A06">
              <w:rPr>
                <w:rFonts w:ascii="Arial" w:hAnsi="Arial" w:cs="Arial"/>
                <w:b/>
              </w:rPr>
              <w:t>Method for Decision-Making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Decision points are clearly identified throughout the meeting.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A fair method is used to reach consensus.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Consensus language (level of agreement) is used even when consensus tool is not used.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A decision-m</w:t>
            </w:r>
            <w:r w:rsidR="00C1756F">
              <w:rPr>
                <w:rFonts w:ascii="Arial" w:hAnsi="Arial" w:cs="Arial"/>
              </w:rPr>
              <w:t>aking tool promoting commitment to decisions is used as appropriate.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122CE4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Consensus (level of agreement) is obtained throughout and prior to the close of the </w:t>
            </w:r>
            <w:r w:rsidR="00196315">
              <w:rPr>
                <w:rFonts w:ascii="Arial" w:hAnsi="Arial" w:cs="Arial"/>
              </w:rPr>
              <w:t>meeting</w:t>
            </w:r>
            <w:r w:rsidR="00122CE4">
              <w:rPr>
                <w:rFonts w:ascii="Arial" w:hAnsi="Arial" w:cs="Arial"/>
              </w:rPr>
              <w:t>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" w:hAnsi="Arial" w:cs="Arial"/>
              </w:rPr>
            </w:pP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Default="002C20F1" w:rsidP="00993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</w:tr>
      <w:tr w:rsidR="00B0054F" w:rsidTr="00281564">
        <w:tc>
          <w:tcPr>
            <w:tcW w:w="9828" w:type="dxa"/>
            <w:gridSpan w:val="2"/>
          </w:tcPr>
          <w:p w:rsidR="00B0054F" w:rsidRPr="00F57A06" w:rsidRDefault="00B0054F" w:rsidP="008A6950">
            <w:pPr>
              <w:rPr>
                <w:rFonts w:ascii="Arial" w:hAnsi="Arial" w:cs="Arial"/>
                <w:b/>
              </w:rPr>
            </w:pPr>
            <w:r w:rsidRPr="00F57A06">
              <w:rPr>
                <w:rFonts w:ascii="Arial" w:hAnsi="Arial" w:cs="Arial"/>
                <w:b/>
              </w:rPr>
              <w:t>Content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including parent modify draft documents based on full discussions.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Written meeting summary captures major points of discussion and decisions.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196315" w:rsidP="00196315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List</w:t>
            </w:r>
            <w:r w:rsidR="00B0054F" w:rsidRPr="000F42A7">
              <w:rPr>
                <w:rFonts w:ascii="Arial" w:hAnsi="Arial" w:cs="Arial"/>
              </w:rPr>
              <w:t xml:space="preserve"> is used to capture obligations and timelines.</w:t>
            </w:r>
          </w:p>
        </w:tc>
      </w:tr>
      <w:tr w:rsidR="00B0054F" w:rsidTr="008A6950">
        <w:tc>
          <w:tcPr>
            <w:tcW w:w="558" w:type="dxa"/>
          </w:tcPr>
          <w:p w:rsidR="00B0054F" w:rsidRDefault="00B0054F" w:rsidP="008A6950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</w:tcPr>
          <w:p w:rsidR="00B0054F" w:rsidRPr="000F42A7" w:rsidRDefault="00B0054F" w:rsidP="000F42A7">
            <w:pPr>
              <w:pStyle w:val="ListParagraph"/>
              <w:numPr>
                <w:ilvl w:val="0"/>
                <w:numId w:val="13"/>
              </w:numPr>
              <w:ind w:left="342" w:hanging="342"/>
              <w:rPr>
                <w:rFonts w:ascii="Arial" w:hAnsi="Arial" w:cs="Arial"/>
              </w:rPr>
            </w:pPr>
          </w:p>
        </w:tc>
      </w:tr>
    </w:tbl>
    <w:p w:rsidR="00FB11D3" w:rsidRDefault="00FB11D3"/>
    <w:p w:rsidR="00B4378A" w:rsidRDefault="00B4378A">
      <w:r>
        <w:br w:type="page"/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9090"/>
      </w:tblGrid>
      <w:tr w:rsidR="00FB11D3" w:rsidTr="008A6950">
        <w:tc>
          <w:tcPr>
            <w:tcW w:w="558" w:type="dxa"/>
            <w:shd w:val="clear" w:color="auto" w:fill="EAF1DD" w:themeFill="accent3" w:themeFillTint="33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  <w:shd w:val="clear" w:color="auto" w:fill="EAF1DD" w:themeFill="accent3" w:themeFillTint="33"/>
          </w:tcPr>
          <w:p w:rsidR="00FB11D3" w:rsidRDefault="00FB11D3" w:rsidP="008A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</w:t>
            </w:r>
            <w:r w:rsidRPr="00327441">
              <w:rPr>
                <w:rFonts w:ascii="Arial" w:hAnsi="Arial" w:cs="Arial"/>
                <w:b/>
              </w:rPr>
              <w:t xml:space="preserve"> the Meeting</w:t>
            </w:r>
          </w:p>
          <w:p w:rsidR="002C20F1" w:rsidRPr="004423A7" w:rsidRDefault="002C20F1" w:rsidP="008A6950">
            <w:pPr>
              <w:jc w:val="center"/>
              <w:rPr>
                <w:rFonts w:ascii="Arial" w:hAnsi="Arial" w:cs="Arial"/>
              </w:rPr>
            </w:pPr>
          </w:p>
        </w:tc>
      </w:tr>
      <w:tr w:rsidR="00F57A06" w:rsidTr="00543BD1">
        <w:tc>
          <w:tcPr>
            <w:tcW w:w="9648" w:type="dxa"/>
            <w:gridSpan w:val="2"/>
          </w:tcPr>
          <w:p w:rsidR="00F57A06" w:rsidRPr="00F57A06" w:rsidRDefault="00F57A06" w:rsidP="008A6950">
            <w:pPr>
              <w:rPr>
                <w:rFonts w:ascii="Arial" w:hAnsi="Arial" w:cs="Arial"/>
                <w:b/>
              </w:rPr>
            </w:pPr>
            <w:r w:rsidRPr="00F57A06">
              <w:rPr>
                <w:rFonts w:ascii="Arial" w:hAnsi="Arial" w:cs="Arial"/>
                <w:b/>
              </w:rPr>
              <w:t>Outcomes</w:t>
            </w:r>
          </w:p>
        </w:tc>
      </w:tr>
      <w:tr w:rsidR="00FB11D3" w:rsidTr="008A6950">
        <w:tc>
          <w:tcPr>
            <w:tcW w:w="558" w:type="dxa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DA527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Parents receive </w:t>
            </w:r>
            <w:r w:rsidR="00196315">
              <w:rPr>
                <w:rFonts w:ascii="Arial" w:hAnsi="Arial" w:cs="Arial"/>
              </w:rPr>
              <w:t>IEP</w:t>
            </w:r>
            <w:r w:rsidRPr="000F42A7">
              <w:rPr>
                <w:rFonts w:ascii="Arial" w:hAnsi="Arial" w:cs="Arial"/>
              </w:rPr>
              <w:t xml:space="preserve"> documents in a timely manner per district guidelines.</w:t>
            </w:r>
          </w:p>
        </w:tc>
      </w:tr>
      <w:tr w:rsidR="00FB11D3" w:rsidTr="008A6950">
        <w:trPr>
          <w:trHeight w:val="467"/>
        </w:trPr>
        <w:tc>
          <w:tcPr>
            <w:tcW w:w="558" w:type="dxa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 xml:space="preserve">Implementers receive IEPs, etc. in a timely manner after </w:t>
            </w:r>
            <w:r w:rsidR="00196315">
              <w:rPr>
                <w:rFonts w:ascii="Arial" w:hAnsi="Arial" w:cs="Arial"/>
              </w:rPr>
              <w:t>IEP</w:t>
            </w:r>
            <w:r w:rsidRPr="000F42A7">
              <w:rPr>
                <w:rFonts w:ascii="Arial" w:hAnsi="Arial" w:cs="Arial"/>
              </w:rPr>
              <w:t xml:space="preserve"> meetings.</w:t>
            </w:r>
          </w:p>
        </w:tc>
      </w:tr>
      <w:tr w:rsidR="00FB11D3" w:rsidTr="008A6950">
        <w:tc>
          <w:tcPr>
            <w:tcW w:w="558" w:type="dxa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Staff members outside the team implement and follow through with team decisions.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Team m</w:t>
            </w:r>
            <w:r w:rsidR="00DA5273" w:rsidRPr="000F42A7">
              <w:rPr>
                <w:rFonts w:ascii="Arial" w:hAnsi="Arial" w:cs="Arial"/>
              </w:rPr>
              <w:t xml:space="preserve">embers collect data which supports </w:t>
            </w:r>
            <w:r w:rsidRPr="000F42A7">
              <w:rPr>
                <w:rFonts w:ascii="Arial" w:hAnsi="Arial" w:cs="Arial"/>
              </w:rPr>
              <w:t>progress monitoring and reporting on goals.</w:t>
            </w:r>
          </w:p>
        </w:tc>
      </w:tr>
      <w:tr w:rsidR="00FB11D3" w:rsidTr="008A6950">
        <w:tc>
          <w:tcPr>
            <w:tcW w:w="558" w:type="dxa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Implementers notify case manager with questions and indicate when review needed.</w:t>
            </w:r>
          </w:p>
        </w:tc>
      </w:tr>
      <w:tr w:rsidR="00FB11D3" w:rsidTr="008A6950">
        <w:tc>
          <w:tcPr>
            <w:tcW w:w="558" w:type="dxa"/>
          </w:tcPr>
          <w:p w:rsidR="00FB11D3" w:rsidRPr="004423A7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DA527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Case manager</w:t>
            </w:r>
            <w:r w:rsidR="00FB11D3" w:rsidRPr="000F42A7">
              <w:rPr>
                <w:rFonts w:ascii="Arial" w:hAnsi="Arial" w:cs="Arial"/>
              </w:rPr>
              <w:t xml:space="preserve"> monitor</w:t>
            </w:r>
            <w:r w:rsidRPr="000F42A7">
              <w:rPr>
                <w:rFonts w:ascii="Arial" w:hAnsi="Arial" w:cs="Arial"/>
              </w:rPr>
              <w:t>s</w:t>
            </w:r>
            <w:r w:rsidR="00FB11D3" w:rsidRPr="000F42A7">
              <w:rPr>
                <w:rFonts w:ascii="Arial" w:hAnsi="Arial" w:cs="Arial"/>
              </w:rPr>
              <w:t xml:space="preserve"> implementation on a</w:t>
            </w:r>
            <w:r w:rsidRPr="000F42A7">
              <w:rPr>
                <w:rFonts w:ascii="Arial" w:hAnsi="Arial" w:cs="Arial"/>
              </w:rPr>
              <w:t xml:space="preserve"> regular basis</w:t>
            </w:r>
            <w:r w:rsidR="00FB11D3" w:rsidRPr="000F42A7">
              <w:rPr>
                <w:rFonts w:ascii="Arial" w:hAnsi="Arial" w:cs="Arial"/>
              </w:rPr>
              <w:t>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FB11D3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Team members manage and seek resources.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957D11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Commitments/promises are monitored.</w:t>
            </w:r>
          </w:p>
        </w:tc>
      </w:tr>
      <w:tr w:rsidR="00FB11D3" w:rsidTr="008A6950">
        <w:tc>
          <w:tcPr>
            <w:tcW w:w="558" w:type="dxa"/>
          </w:tcPr>
          <w:p w:rsidR="00FB11D3" w:rsidRDefault="00FB11D3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FB11D3" w:rsidRPr="000F42A7" w:rsidRDefault="00122CE4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c</w:t>
            </w:r>
            <w:r w:rsidR="00CA3AF0" w:rsidRPr="000F42A7">
              <w:rPr>
                <w:rFonts w:ascii="Arial" w:hAnsi="Arial" w:cs="Arial"/>
              </w:rPr>
              <w:t>ommunicate regularly with parents about student progress and follow through.</w:t>
            </w:r>
          </w:p>
        </w:tc>
      </w:tr>
      <w:tr w:rsidR="00122CE4" w:rsidTr="008A6950">
        <w:tc>
          <w:tcPr>
            <w:tcW w:w="558" w:type="dxa"/>
          </w:tcPr>
          <w:p w:rsidR="00122CE4" w:rsidRDefault="00122CE4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122CE4" w:rsidRDefault="00122CE4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solicit updated info from parent, appropriate.</w:t>
            </w:r>
          </w:p>
        </w:tc>
      </w:tr>
      <w:tr w:rsidR="00E64BC5" w:rsidTr="008A6950">
        <w:tc>
          <w:tcPr>
            <w:tcW w:w="558" w:type="dxa"/>
          </w:tcPr>
          <w:p w:rsidR="00E64BC5" w:rsidRDefault="00E64BC5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64BC5" w:rsidRPr="000F42A7" w:rsidRDefault="00CA3AF0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Be proactive in meeting commitments.</w:t>
            </w:r>
          </w:p>
        </w:tc>
      </w:tr>
      <w:tr w:rsidR="007D522F" w:rsidTr="008A6950">
        <w:tc>
          <w:tcPr>
            <w:tcW w:w="558" w:type="dxa"/>
          </w:tcPr>
          <w:p w:rsidR="007D522F" w:rsidRDefault="007D522F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7D522F" w:rsidRPr="000F42A7" w:rsidRDefault="007D522F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Members apologize for mistakes, oversight; own responsibility for broken promises.</w:t>
            </w:r>
          </w:p>
        </w:tc>
      </w:tr>
      <w:tr w:rsidR="007D522F" w:rsidTr="008A6950">
        <w:tc>
          <w:tcPr>
            <w:tcW w:w="558" w:type="dxa"/>
          </w:tcPr>
          <w:p w:rsidR="007D522F" w:rsidRDefault="007D522F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7D522F" w:rsidRPr="000F42A7" w:rsidRDefault="007D522F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Team members maintain confidentiality.</w:t>
            </w:r>
          </w:p>
        </w:tc>
      </w:tr>
      <w:tr w:rsidR="007D522F" w:rsidTr="008A6950">
        <w:tc>
          <w:tcPr>
            <w:tcW w:w="558" w:type="dxa"/>
          </w:tcPr>
          <w:p w:rsidR="007D522F" w:rsidRDefault="007D522F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7D522F" w:rsidRPr="000F42A7" w:rsidRDefault="007D522F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  <w:r w:rsidRPr="000F42A7">
              <w:rPr>
                <w:rFonts w:ascii="Arial" w:hAnsi="Arial" w:cs="Arial"/>
              </w:rPr>
              <w:t>Evaluation of</w:t>
            </w:r>
            <w:r w:rsidR="00196315">
              <w:rPr>
                <w:rFonts w:ascii="Arial" w:hAnsi="Arial" w:cs="Arial"/>
              </w:rPr>
              <w:t xml:space="preserve"> the</w:t>
            </w:r>
            <w:bookmarkStart w:id="0" w:name="_GoBack"/>
            <w:bookmarkEnd w:id="0"/>
            <w:r w:rsidRPr="000F42A7">
              <w:rPr>
                <w:rFonts w:ascii="Arial" w:hAnsi="Arial" w:cs="Arial"/>
              </w:rPr>
              <w:t xml:space="preserve"> </w:t>
            </w:r>
            <w:r w:rsidR="00196315">
              <w:rPr>
                <w:rFonts w:ascii="Arial" w:hAnsi="Arial" w:cs="Arial"/>
              </w:rPr>
              <w:t>IEP</w:t>
            </w:r>
            <w:r w:rsidRPr="000F42A7">
              <w:rPr>
                <w:rFonts w:ascii="Arial" w:hAnsi="Arial" w:cs="Arial"/>
              </w:rPr>
              <w:t xml:space="preserve"> process is conducted by parents and team members periodically.</w:t>
            </w:r>
          </w:p>
        </w:tc>
      </w:tr>
      <w:tr w:rsidR="007D522F" w:rsidTr="008A6950">
        <w:tc>
          <w:tcPr>
            <w:tcW w:w="558" w:type="dxa"/>
          </w:tcPr>
          <w:p w:rsidR="007D522F" w:rsidRDefault="007D522F" w:rsidP="008A6950">
            <w:pPr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7D522F" w:rsidRPr="000F42A7" w:rsidRDefault="007D522F" w:rsidP="000F42A7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</w:rPr>
            </w:pPr>
          </w:p>
        </w:tc>
      </w:tr>
    </w:tbl>
    <w:p w:rsidR="00FB11D3" w:rsidRPr="00C21ADF" w:rsidRDefault="00FB11D3" w:rsidP="00C21ADF"/>
    <w:sectPr w:rsidR="00FB11D3" w:rsidRPr="00C21ADF" w:rsidSect="00BB135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14" w:rsidRDefault="00C77D14" w:rsidP="00EE4848">
      <w:pPr>
        <w:spacing w:after="0" w:line="240" w:lineRule="auto"/>
      </w:pPr>
      <w:r>
        <w:separator/>
      </w:r>
    </w:p>
  </w:endnote>
  <w:endnote w:type="continuationSeparator" w:id="0">
    <w:p w:rsidR="00C77D14" w:rsidRDefault="00C77D14" w:rsidP="00E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F3" w:rsidRDefault="00F874F3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54E4800E" wp14:editId="5D1189ED">
          <wp:simplePos x="0" y="0"/>
          <wp:positionH relativeFrom="column">
            <wp:posOffset>467995</wp:posOffset>
          </wp:positionH>
          <wp:positionV relativeFrom="paragraph">
            <wp:posOffset>9221470</wp:posOffset>
          </wp:positionV>
          <wp:extent cx="1464310" cy="302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04E53812" wp14:editId="68A4BE63">
          <wp:simplePos x="0" y="0"/>
          <wp:positionH relativeFrom="column">
            <wp:posOffset>467995</wp:posOffset>
          </wp:positionH>
          <wp:positionV relativeFrom="paragraph">
            <wp:posOffset>9221470</wp:posOffset>
          </wp:positionV>
          <wp:extent cx="1464310" cy="302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0DA41F">
          <wp:extent cx="1476375" cy="314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74F3" w:rsidRDefault="00F874F3">
    <w:pPr>
      <w:pStyle w:val="Foot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4DB27534">
          <wp:simplePos x="0" y="0"/>
          <wp:positionH relativeFrom="column">
            <wp:posOffset>467995</wp:posOffset>
          </wp:positionH>
          <wp:positionV relativeFrom="paragraph">
            <wp:posOffset>9221470</wp:posOffset>
          </wp:positionV>
          <wp:extent cx="1464310" cy="3022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14" w:rsidRDefault="00C77D14" w:rsidP="00EE4848">
      <w:pPr>
        <w:spacing w:after="0" w:line="240" w:lineRule="auto"/>
      </w:pPr>
      <w:r>
        <w:separator/>
      </w:r>
    </w:p>
  </w:footnote>
  <w:footnote w:type="continuationSeparator" w:id="0">
    <w:p w:rsidR="00C77D14" w:rsidRDefault="00C77D14" w:rsidP="00EE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546"/>
    <w:multiLevelType w:val="hybridMultilevel"/>
    <w:tmpl w:val="D930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93B"/>
    <w:multiLevelType w:val="hybridMultilevel"/>
    <w:tmpl w:val="1B0C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4A9B"/>
    <w:multiLevelType w:val="hybridMultilevel"/>
    <w:tmpl w:val="E58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9A0"/>
    <w:multiLevelType w:val="hybridMultilevel"/>
    <w:tmpl w:val="BB9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C20"/>
    <w:multiLevelType w:val="hybridMultilevel"/>
    <w:tmpl w:val="9D8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2B64"/>
    <w:multiLevelType w:val="hybridMultilevel"/>
    <w:tmpl w:val="86C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32B0"/>
    <w:multiLevelType w:val="hybridMultilevel"/>
    <w:tmpl w:val="37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11D0"/>
    <w:multiLevelType w:val="hybridMultilevel"/>
    <w:tmpl w:val="08AE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5ACC"/>
    <w:multiLevelType w:val="hybridMultilevel"/>
    <w:tmpl w:val="F732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0EB"/>
    <w:multiLevelType w:val="hybridMultilevel"/>
    <w:tmpl w:val="9A1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92630"/>
    <w:multiLevelType w:val="hybridMultilevel"/>
    <w:tmpl w:val="817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C6F83"/>
    <w:multiLevelType w:val="hybridMultilevel"/>
    <w:tmpl w:val="74C0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360CC"/>
    <w:multiLevelType w:val="hybridMultilevel"/>
    <w:tmpl w:val="6216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250A"/>
    <w:multiLevelType w:val="hybridMultilevel"/>
    <w:tmpl w:val="346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83"/>
    <w:rsid w:val="000400A2"/>
    <w:rsid w:val="00042898"/>
    <w:rsid w:val="00053627"/>
    <w:rsid w:val="00053874"/>
    <w:rsid w:val="00093B67"/>
    <w:rsid w:val="000D7AF2"/>
    <w:rsid w:val="000E42FA"/>
    <w:rsid w:val="000F1A43"/>
    <w:rsid w:val="000F39F1"/>
    <w:rsid w:val="000F42A7"/>
    <w:rsid w:val="000F7F6E"/>
    <w:rsid w:val="00122CE4"/>
    <w:rsid w:val="00130D07"/>
    <w:rsid w:val="00131BDE"/>
    <w:rsid w:val="0013283F"/>
    <w:rsid w:val="00163549"/>
    <w:rsid w:val="00196315"/>
    <w:rsid w:val="001964B1"/>
    <w:rsid w:val="001A6990"/>
    <w:rsid w:val="001B1DB8"/>
    <w:rsid w:val="001B6114"/>
    <w:rsid w:val="001E7E1B"/>
    <w:rsid w:val="002057EF"/>
    <w:rsid w:val="00234E3D"/>
    <w:rsid w:val="002353DB"/>
    <w:rsid w:val="00265CCD"/>
    <w:rsid w:val="0029179F"/>
    <w:rsid w:val="00295053"/>
    <w:rsid w:val="002C20F1"/>
    <w:rsid w:val="002C6BE6"/>
    <w:rsid w:val="003164A7"/>
    <w:rsid w:val="00317AE2"/>
    <w:rsid w:val="00327441"/>
    <w:rsid w:val="0033685C"/>
    <w:rsid w:val="003471E3"/>
    <w:rsid w:val="00366758"/>
    <w:rsid w:val="003870F6"/>
    <w:rsid w:val="003975C6"/>
    <w:rsid w:val="003C305C"/>
    <w:rsid w:val="003F62C4"/>
    <w:rsid w:val="004340C5"/>
    <w:rsid w:val="004423A7"/>
    <w:rsid w:val="00450D46"/>
    <w:rsid w:val="00453626"/>
    <w:rsid w:val="00454A4A"/>
    <w:rsid w:val="00487F23"/>
    <w:rsid w:val="004D527C"/>
    <w:rsid w:val="00500DAD"/>
    <w:rsid w:val="00506527"/>
    <w:rsid w:val="00520600"/>
    <w:rsid w:val="00523CD0"/>
    <w:rsid w:val="0056509D"/>
    <w:rsid w:val="00571A05"/>
    <w:rsid w:val="00571ABC"/>
    <w:rsid w:val="005A3912"/>
    <w:rsid w:val="005B4B93"/>
    <w:rsid w:val="005C71F7"/>
    <w:rsid w:val="005E086E"/>
    <w:rsid w:val="005F11E6"/>
    <w:rsid w:val="005F507C"/>
    <w:rsid w:val="006772F1"/>
    <w:rsid w:val="00682D02"/>
    <w:rsid w:val="00686888"/>
    <w:rsid w:val="006B05F1"/>
    <w:rsid w:val="006B1361"/>
    <w:rsid w:val="006B5083"/>
    <w:rsid w:val="006D3568"/>
    <w:rsid w:val="006F2CFB"/>
    <w:rsid w:val="0072695F"/>
    <w:rsid w:val="007608B9"/>
    <w:rsid w:val="00785C99"/>
    <w:rsid w:val="007A57B2"/>
    <w:rsid w:val="007A60CA"/>
    <w:rsid w:val="007B33F6"/>
    <w:rsid w:val="007B615E"/>
    <w:rsid w:val="007C2D35"/>
    <w:rsid w:val="007D522F"/>
    <w:rsid w:val="007E22C8"/>
    <w:rsid w:val="0085125C"/>
    <w:rsid w:val="00851B90"/>
    <w:rsid w:val="00866C98"/>
    <w:rsid w:val="00894A2C"/>
    <w:rsid w:val="008B057E"/>
    <w:rsid w:val="008E4340"/>
    <w:rsid w:val="00900CAA"/>
    <w:rsid w:val="00912430"/>
    <w:rsid w:val="00957D11"/>
    <w:rsid w:val="00970DCE"/>
    <w:rsid w:val="009D6DA9"/>
    <w:rsid w:val="009D7F37"/>
    <w:rsid w:val="00A03077"/>
    <w:rsid w:val="00A10DE4"/>
    <w:rsid w:val="00A16AEC"/>
    <w:rsid w:val="00A203C8"/>
    <w:rsid w:val="00A21AFF"/>
    <w:rsid w:val="00AA14FA"/>
    <w:rsid w:val="00AA786D"/>
    <w:rsid w:val="00AC5F19"/>
    <w:rsid w:val="00AE558B"/>
    <w:rsid w:val="00B0054F"/>
    <w:rsid w:val="00B4378A"/>
    <w:rsid w:val="00B516CF"/>
    <w:rsid w:val="00B559C4"/>
    <w:rsid w:val="00B646D6"/>
    <w:rsid w:val="00B77298"/>
    <w:rsid w:val="00B910DF"/>
    <w:rsid w:val="00BA030F"/>
    <w:rsid w:val="00BA2EED"/>
    <w:rsid w:val="00BB1352"/>
    <w:rsid w:val="00BB1E64"/>
    <w:rsid w:val="00BB2AB2"/>
    <w:rsid w:val="00BD66D9"/>
    <w:rsid w:val="00BE0BD5"/>
    <w:rsid w:val="00BF265B"/>
    <w:rsid w:val="00C008FD"/>
    <w:rsid w:val="00C1756F"/>
    <w:rsid w:val="00C21ADF"/>
    <w:rsid w:val="00C258A9"/>
    <w:rsid w:val="00C30EF6"/>
    <w:rsid w:val="00C36B1B"/>
    <w:rsid w:val="00C55A8A"/>
    <w:rsid w:val="00C666E6"/>
    <w:rsid w:val="00C72B89"/>
    <w:rsid w:val="00C77D14"/>
    <w:rsid w:val="00C805E8"/>
    <w:rsid w:val="00C874BB"/>
    <w:rsid w:val="00C913F8"/>
    <w:rsid w:val="00CA3AF0"/>
    <w:rsid w:val="00CF5BA9"/>
    <w:rsid w:val="00D02879"/>
    <w:rsid w:val="00D167E6"/>
    <w:rsid w:val="00D236C3"/>
    <w:rsid w:val="00D44AE5"/>
    <w:rsid w:val="00D45D9A"/>
    <w:rsid w:val="00D45E7B"/>
    <w:rsid w:val="00D6503F"/>
    <w:rsid w:val="00D66E15"/>
    <w:rsid w:val="00D9288F"/>
    <w:rsid w:val="00DA0B25"/>
    <w:rsid w:val="00DA0E1B"/>
    <w:rsid w:val="00DA5273"/>
    <w:rsid w:val="00DD26CB"/>
    <w:rsid w:val="00DD346C"/>
    <w:rsid w:val="00DD36E2"/>
    <w:rsid w:val="00E1405C"/>
    <w:rsid w:val="00E15D3D"/>
    <w:rsid w:val="00E15FA7"/>
    <w:rsid w:val="00E16C60"/>
    <w:rsid w:val="00E226E5"/>
    <w:rsid w:val="00E55AEA"/>
    <w:rsid w:val="00E6370C"/>
    <w:rsid w:val="00E639B5"/>
    <w:rsid w:val="00E64BC5"/>
    <w:rsid w:val="00E945B2"/>
    <w:rsid w:val="00EB4E21"/>
    <w:rsid w:val="00ED3C83"/>
    <w:rsid w:val="00EE4848"/>
    <w:rsid w:val="00EE5718"/>
    <w:rsid w:val="00EF0B58"/>
    <w:rsid w:val="00EF103B"/>
    <w:rsid w:val="00F232A5"/>
    <w:rsid w:val="00F41303"/>
    <w:rsid w:val="00F57A06"/>
    <w:rsid w:val="00F72F2F"/>
    <w:rsid w:val="00F827AF"/>
    <w:rsid w:val="00F874F3"/>
    <w:rsid w:val="00F91C9D"/>
    <w:rsid w:val="00FA588A"/>
    <w:rsid w:val="00FB11D3"/>
    <w:rsid w:val="00FE608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48"/>
  </w:style>
  <w:style w:type="paragraph" w:styleId="Footer">
    <w:name w:val="footer"/>
    <w:basedOn w:val="Normal"/>
    <w:link w:val="FooterChar"/>
    <w:uiPriority w:val="99"/>
    <w:unhideWhenUsed/>
    <w:rsid w:val="00EE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48"/>
  </w:style>
  <w:style w:type="paragraph" w:styleId="BalloonText">
    <w:name w:val="Balloon Text"/>
    <w:basedOn w:val="Normal"/>
    <w:link w:val="BalloonTextChar"/>
    <w:uiPriority w:val="99"/>
    <w:semiHidden/>
    <w:unhideWhenUsed/>
    <w:rsid w:val="00E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otey</dc:creator>
  <cp:lastModifiedBy>E6430</cp:lastModifiedBy>
  <cp:revision>7</cp:revision>
  <cp:lastPrinted>2011-08-15T13:44:00Z</cp:lastPrinted>
  <dcterms:created xsi:type="dcterms:W3CDTF">2013-10-25T19:08:00Z</dcterms:created>
  <dcterms:modified xsi:type="dcterms:W3CDTF">2013-12-12T21:39:00Z</dcterms:modified>
</cp:coreProperties>
</file>